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D9E9" w14:textId="77777777" w:rsidR="00332ED3" w:rsidRDefault="00BC06C3" w:rsidP="009A58CB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2ED3">
        <w:rPr>
          <w:rFonts w:ascii="Arial" w:hAnsi="Arial" w:cs="Arial"/>
          <w:b/>
          <w:bCs/>
          <w:sz w:val="32"/>
          <w:szCs w:val="32"/>
        </w:rPr>
        <w:t xml:space="preserve">COVID-19 </w:t>
      </w:r>
      <w:r w:rsidR="003254B7">
        <w:rPr>
          <w:rFonts w:ascii="Arial" w:hAnsi="Arial" w:cs="Arial"/>
          <w:b/>
          <w:bCs/>
          <w:sz w:val="32"/>
          <w:szCs w:val="32"/>
        </w:rPr>
        <w:t>h</w:t>
      </w:r>
      <w:r w:rsidR="000C537C">
        <w:rPr>
          <w:rFonts w:ascii="Arial" w:hAnsi="Arial" w:cs="Arial"/>
          <w:b/>
          <w:bCs/>
          <w:sz w:val="32"/>
          <w:szCs w:val="32"/>
        </w:rPr>
        <w:t xml:space="preserve">ealth and </w:t>
      </w:r>
      <w:r w:rsidR="003254B7">
        <w:rPr>
          <w:rFonts w:ascii="Arial" w:hAnsi="Arial" w:cs="Arial"/>
          <w:b/>
          <w:bCs/>
          <w:sz w:val="32"/>
          <w:szCs w:val="32"/>
        </w:rPr>
        <w:t>social c</w:t>
      </w:r>
      <w:r w:rsidR="00A60900">
        <w:rPr>
          <w:rFonts w:ascii="Arial" w:hAnsi="Arial" w:cs="Arial"/>
          <w:b/>
          <w:bCs/>
          <w:sz w:val="32"/>
          <w:szCs w:val="32"/>
        </w:rPr>
        <w:t>are</w:t>
      </w:r>
      <w:r w:rsidR="00332ED3">
        <w:rPr>
          <w:rFonts w:ascii="Arial" w:hAnsi="Arial" w:cs="Arial"/>
          <w:b/>
          <w:bCs/>
          <w:sz w:val="32"/>
          <w:szCs w:val="32"/>
        </w:rPr>
        <w:t xml:space="preserve"> </w:t>
      </w:r>
      <w:r w:rsidR="00FC3E13">
        <w:rPr>
          <w:rFonts w:ascii="Arial" w:hAnsi="Arial" w:cs="Arial"/>
          <w:b/>
          <w:bCs/>
          <w:sz w:val="32"/>
          <w:szCs w:val="32"/>
        </w:rPr>
        <w:t xml:space="preserve">PCR </w:t>
      </w:r>
      <w:r w:rsidR="003254B7">
        <w:rPr>
          <w:rFonts w:ascii="Arial" w:hAnsi="Arial" w:cs="Arial"/>
          <w:b/>
          <w:bCs/>
          <w:sz w:val="32"/>
          <w:szCs w:val="32"/>
        </w:rPr>
        <w:t>s</w:t>
      </w:r>
      <w:r w:rsidRPr="00332ED3">
        <w:rPr>
          <w:rFonts w:ascii="Arial" w:hAnsi="Arial" w:cs="Arial"/>
          <w:b/>
          <w:bCs/>
          <w:sz w:val="32"/>
          <w:szCs w:val="32"/>
        </w:rPr>
        <w:t xml:space="preserve">wab </w:t>
      </w:r>
      <w:r w:rsidR="003254B7">
        <w:rPr>
          <w:rFonts w:ascii="Arial" w:hAnsi="Arial" w:cs="Arial"/>
          <w:b/>
          <w:bCs/>
          <w:sz w:val="32"/>
          <w:szCs w:val="32"/>
        </w:rPr>
        <w:t>t</w:t>
      </w:r>
      <w:r w:rsidRPr="00332ED3">
        <w:rPr>
          <w:rFonts w:ascii="Arial" w:hAnsi="Arial" w:cs="Arial"/>
          <w:b/>
          <w:bCs/>
          <w:sz w:val="32"/>
          <w:szCs w:val="32"/>
        </w:rPr>
        <w:t>est</w:t>
      </w:r>
    </w:p>
    <w:p w14:paraId="08C883AF" w14:textId="77777777" w:rsidR="00EE110C" w:rsidRPr="003254B7" w:rsidRDefault="004648AB" w:rsidP="009A58CB">
      <w:pPr>
        <w:spacing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3254B7">
        <w:rPr>
          <w:rFonts w:ascii="Arial" w:hAnsi="Arial" w:cs="Arial"/>
          <w:b/>
          <w:bCs/>
          <w:color w:val="0070C0"/>
          <w:sz w:val="40"/>
          <w:szCs w:val="40"/>
        </w:rPr>
        <w:t xml:space="preserve">Information for </w:t>
      </w:r>
      <w:r w:rsidR="003254B7">
        <w:rPr>
          <w:rFonts w:ascii="Arial" w:hAnsi="Arial" w:cs="Arial"/>
          <w:b/>
          <w:bCs/>
          <w:color w:val="0070C0"/>
          <w:sz w:val="40"/>
          <w:szCs w:val="40"/>
        </w:rPr>
        <w:t>e</w:t>
      </w:r>
      <w:r w:rsidRPr="003254B7">
        <w:rPr>
          <w:rFonts w:ascii="Arial" w:hAnsi="Arial" w:cs="Arial"/>
          <w:b/>
          <w:bCs/>
          <w:color w:val="0070C0"/>
          <w:sz w:val="40"/>
          <w:szCs w:val="40"/>
        </w:rPr>
        <w:t>mployers</w:t>
      </w:r>
    </w:p>
    <w:p w14:paraId="0F70815B" w14:textId="77777777" w:rsidR="004648AB" w:rsidRPr="00A462D1" w:rsidRDefault="00E14344" w:rsidP="009A58C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Revised 21</w:t>
      </w:r>
      <w:r w:rsidRPr="00E14344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Sept</w:t>
      </w:r>
      <w:r w:rsidR="004648AB" w:rsidRPr="00A462D1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6A1F3D0C" w14:textId="77777777" w:rsidR="00406515" w:rsidRPr="006A2858" w:rsidRDefault="000C537C" w:rsidP="00406515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The following guidance </w:t>
      </w:r>
      <w:r w:rsidR="00406515" w:rsidRPr="006A2858">
        <w:rPr>
          <w:rFonts w:ascii="Arial" w:hAnsi="Arial" w:cs="Arial"/>
          <w:bCs/>
          <w:noProof/>
        </w:rPr>
        <w:t xml:space="preserve">will tell you: </w:t>
      </w:r>
    </w:p>
    <w:p w14:paraId="4B75F004" w14:textId="77777777" w:rsidR="00406515" w:rsidRPr="006A2858" w:rsidRDefault="00406515" w:rsidP="0040651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noProof/>
          <w:sz w:val="22"/>
          <w:szCs w:val="22"/>
        </w:rPr>
      </w:pPr>
      <w:r w:rsidRPr="003254B7">
        <w:rPr>
          <w:rFonts w:ascii="Arial" w:hAnsi="Arial" w:cs="Arial"/>
          <w:b/>
          <w:bCs/>
          <w:noProof/>
          <w:color w:val="0070C0"/>
          <w:sz w:val="22"/>
          <w:szCs w:val="22"/>
        </w:rPr>
        <w:t>Who</w:t>
      </w:r>
      <w:r w:rsidRPr="006A2858">
        <w:rPr>
          <w:rFonts w:ascii="Arial" w:hAnsi="Arial" w:cs="Arial"/>
          <w:b/>
          <w:bCs/>
          <w:noProof/>
          <w:color w:val="548DD4" w:themeColor="text2" w:themeTint="99"/>
          <w:sz w:val="22"/>
          <w:szCs w:val="22"/>
        </w:rPr>
        <w:t xml:space="preserve"> </w:t>
      </w:r>
      <w:r w:rsidRPr="006A2858">
        <w:rPr>
          <w:rFonts w:ascii="Arial" w:hAnsi="Arial" w:cs="Arial"/>
          <w:bCs/>
          <w:noProof/>
          <w:sz w:val="22"/>
          <w:szCs w:val="22"/>
        </w:rPr>
        <w:t>is eligible for testing</w:t>
      </w:r>
      <w:r w:rsidR="000C537C">
        <w:rPr>
          <w:rFonts w:ascii="Arial" w:hAnsi="Arial" w:cs="Arial"/>
          <w:bCs/>
          <w:noProof/>
          <w:sz w:val="22"/>
          <w:szCs w:val="22"/>
        </w:rPr>
        <w:t>;</w:t>
      </w:r>
    </w:p>
    <w:p w14:paraId="0685B08F" w14:textId="77777777" w:rsidR="008E2DA4" w:rsidRPr="008E2DA4" w:rsidRDefault="00406515" w:rsidP="008E2DA4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254B7">
        <w:rPr>
          <w:rFonts w:ascii="Arial" w:hAnsi="Arial" w:cs="Arial"/>
          <w:b/>
          <w:bCs/>
          <w:noProof/>
          <w:color w:val="0070C0"/>
          <w:sz w:val="22"/>
          <w:szCs w:val="22"/>
        </w:rPr>
        <w:t>How</w:t>
      </w:r>
      <w:r w:rsidRPr="006A2858">
        <w:rPr>
          <w:rFonts w:ascii="Arial" w:hAnsi="Arial" w:cs="Arial"/>
          <w:b/>
          <w:bCs/>
          <w:noProof/>
          <w:color w:val="548DD4" w:themeColor="text2" w:themeTint="99"/>
          <w:sz w:val="22"/>
          <w:szCs w:val="22"/>
        </w:rPr>
        <w:t xml:space="preserve"> </w:t>
      </w:r>
      <w:r w:rsidR="004C53A5">
        <w:rPr>
          <w:rFonts w:ascii="Arial" w:hAnsi="Arial" w:cs="Arial"/>
          <w:bCs/>
          <w:noProof/>
          <w:sz w:val="22"/>
          <w:szCs w:val="22"/>
        </w:rPr>
        <w:t xml:space="preserve">employers can refer staff for </w:t>
      </w:r>
      <w:r w:rsidRPr="006A2858">
        <w:rPr>
          <w:rFonts w:ascii="Arial" w:hAnsi="Arial" w:cs="Arial"/>
          <w:bCs/>
          <w:noProof/>
          <w:sz w:val="22"/>
          <w:szCs w:val="22"/>
        </w:rPr>
        <w:t xml:space="preserve">a </w:t>
      </w:r>
      <w:r w:rsidR="00A60900">
        <w:rPr>
          <w:rFonts w:ascii="Arial" w:hAnsi="Arial" w:cs="Arial"/>
          <w:bCs/>
          <w:noProof/>
          <w:sz w:val="22"/>
          <w:szCs w:val="22"/>
        </w:rPr>
        <w:t>PCR swab</w:t>
      </w:r>
      <w:r w:rsidRPr="006A2858">
        <w:rPr>
          <w:rFonts w:ascii="Arial" w:hAnsi="Arial" w:cs="Arial"/>
          <w:bCs/>
          <w:noProof/>
          <w:sz w:val="22"/>
          <w:szCs w:val="22"/>
        </w:rPr>
        <w:t xml:space="preserve"> test via the </w:t>
      </w:r>
      <w:r w:rsidR="009011AA">
        <w:rPr>
          <w:rFonts w:ascii="Arial" w:hAnsi="Arial" w:cs="Arial"/>
          <w:bCs/>
          <w:noProof/>
          <w:sz w:val="22"/>
          <w:szCs w:val="22"/>
        </w:rPr>
        <w:t>E</w:t>
      </w:r>
      <w:r w:rsidR="000C537C">
        <w:rPr>
          <w:rFonts w:ascii="Arial" w:hAnsi="Arial" w:cs="Arial"/>
          <w:bCs/>
          <w:noProof/>
          <w:sz w:val="22"/>
          <w:szCs w:val="22"/>
        </w:rPr>
        <w:t xml:space="preserve">ast </w:t>
      </w:r>
      <w:r w:rsidR="009011AA">
        <w:rPr>
          <w:rFonts w:ascii="Arial" w:hAnsi="Arial" w:cs="Arial"/>
          <w:bCs/>
          <w:noProof/>
          <w:sz w:val="22"/>
          <w:szCs w:val="22"/>
        </w:rPr>
        <w:t>L</w:t>
      </w:r>
      <w:r w:rsidR="000C537C">
        <w:rPr>
          <w:rFonts w:ascii="Arial" w:hAnsi="Arial" w:cs="Arial"/>
          <w:bCs/>
          <w:noProof/>
          <w:sz w:val="22"/>
          <w:szCs w:val="22"/>
        </w:rPr>
        <w:t xml:space="preserve">ondon </w:t>
      </w:r>
      <w:r w:rsidR="009011AA">
        <w:rPr>
          <w:rFonts w:ascii="Arial" w:hAnsi="Arial" w:cs="Arial"/>
          <w:bCs/>
          <w:noProof/>
          <w:sz w:val="22"/>
          <w:szCs w:val="22"/>
        </w:rPr>
        <w:t>H</w:t>
      </w:r>
      <w:r w:rsidR="000C537C">
        <w:rPr>
          <w:rFonts w:ascii="Arial" w:hAnsi="Arial" w:cs="Arial"/>
          <w:bCs/>
          <w:noProof/>
          <w:sz w:val="22"/>
          <w:szCs w:val="22"/>
        </w:rPr>
        <w:t xml:space="preserve">ealth </w:t>
      </w:r>
      <w:r w:rsidR="009011AA">
        <w:rPr>
          <w:rFonts w:ascii="Arial" w:hAnsi="Arial" w:cs="Arial"/>
          <w:bCs/>
          <w:noProof/>
          <w:sz w:val="22"/>
          <w:szCs w:val="22"/>
        </w:rPr>
        <w:t>C</w:t>
      </w:r>
      <w:r w:rsidR="000C537C">
        <w:rPr>
          <w:rFonts w:ascii="Arial" w:hAnsi="Arial" w:cs="Arial"/>
          <w:bCs/>
          <w:noProof/>
          <w:sz w:val="22"/>
          <w:szCs w:val="22"/>
        </w:rPr>
        <w:t xml:space="preserve">are </w:t>
      </w:r>
      <w:r w:rsidR="009011AA">
        <w:rPr>
          <w:rFonts w:ascii="Arial" w:hAnsi="Arial" w:cs="Arial"/>
          <w:bCs/>
          <w:noProof/>
          <w:sz w:val="22"/>
          <w:szCs w:val="22"/>
        </w:rPr>
        <w:t>P</w:t>
      </w:r>
      <w:r w:rsidR="000C537C">
        <w:rPr>
          <w:rFonts w:ascii="Arial" w:hAnsi="Arial" w:cs="Arial"/>
          <w:bCs/>
          <w:noProof/>
          <w:sz w:val="22"/>
          <w:szCs w:val="22"/>
        </w:rPr>
        <w:t>artnership</w:t>
      </w:r>
      <w:r w:rsidR="00116F52">
        <w:rPr>
          <w:rFonts w:ascii="Arial" w:hAnsi="Arial" w:cs="Arial"/>
          <w:bCs/>
          <w:noProof/>
          <w:sz w:val="22"/>
          <w:szCs w:val="22"/>
        </w:rPr>
        <w:t xml:space="preserve"> offer.</w:t>
      </w:r>
      <w:r w:rsidRPr="008E2DA4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51D30F07" w14:textId="77777777" w:rsidR="000A75CC" w:rsidRPr="008E2DA4" w:rsidRDefault="009A58CB" w:rsidP="008E2DA4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  <w:r w:rsidRPr="009F48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00697" wp14:editId="32D9AB8B">
                <wp:simplePos x="0" y="0"/>
                <wp:positionH relativeFrom="column">
                  <wp:posOffset>314325</wp:posOffset>
                </wp:positionH>
                <wp:positionV relativeFrom="paragraph">
                  <wp:posOffset>155574</wp:posOffset>
                </wp:positionV>
                <wp:extent cx="5695950" cy="7038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CBCC" w14:textId="77777777" w:rsidR="007E2A8E" w:rsidRDefault="007E2A8E" w:rsidP="00C10F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F92361" w14:textId="77777777" w:rsidR="009A58CB" w:rsidRDefault="009A58CB" w:rsidP="00C10F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CF2B04" w14:textId="77777777" w:rsidR="009A58CB" w:rsidRDefault="009A58CB" w:rsidP="00C10F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B1E5B6" w14:textId="77777777" w:rsidR="009A58CB" w:rsidRDefault="009A58CB" w:rsidP="00C10F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C645DE" w14:textId="77777777" w:rsidR="0023696C" w:rsidRPr="00257725" w:rsidRDefault="00C10F01" w:rsidP="00C10F01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57725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Eligibility: </w:t>
                            </w:r>
                          </w:p>
                          <w:p w14:paraId="35732BD1" w14:textId="77777777" w:rsidR="0023696C" w:rsidRDefault="0023696C" w:rsidP="00C10F0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3696C">
                              <w:rPr>
                                <w:rFonts w:ascii="Arial" w:hAnsi="Arial" w:cs="Arial"/>
                              </w:rPr>
                              <w:t>This service is available to staff who</w:t>
                            </w:r>
                            <w:r w:rsidR="008F14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583F">
                              <w:rPr>
                                <w:rFonts w:ascii="Arial" w:hAnsi="Arial" w:cs="Arial"/>
                              </w:rPr>
                              <w:t xml:space="preserve">live and </w:t>
                            </w:r>
                            <w:r w:rsidR="008F149A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6733D8">
                              <w:rPr>
                                <w:rFonts w:ascii="Arial" w:hAnsi="Arial" w:cs="Arial"/>
                              </w:rPr>
                              <w:t xml:space="preserve">ork </w:t>
                            </w:r>
                            <w:r w:rsidRPr="0023696C">
                              <w:rPr>
                                <w:rFonts w:ascii="Arial" w:hAnsi="Arial" w:cs="Arial"/>
                              </w:rPr>
                              <w:t xml:space="preserve">within the </w:t>
                            </w:r>
                            <w:r w:rsidR="00A3484A">
                              <w:rPr>
                                <w:rFonts w:ascii="Arial" w:hAnsi="Arial" w:cs="Arial"/>
                              </w:rPr>
                              <w:t>NE London</w:t>
                            </w:r>
                            <w:r w:rsidRPr="0023696C">
                              <w:rPr>
                                <w:rFonts w:ascii="Arial" w:hAnsi="Arial" w:cs="Arial"/>
                              </w:rPr>
                              <w:t xml:space="preserve"> area</w:t>
                            </w:r>
                            <w:r w:rsidR="00D9583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F14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583F">
                              <w:rPr>
                                <w:rFonts w:ascii="Arial" w:hAnsi="Arial" w:cs="Arial"/>
                              </w:rPr>
                              <w:t xml:space="preserve">The offer also applies to those staff </w:t>
                            </w:r>
                            <w:r w:rsidR="00C063F0">
                              <w:rPr>
                                <w:rFonts w:ascii="Arial" w:hAnsi="Arial" w:cs="Arial"/>
                              </w:rPr>
                              <w:t>that</w:t>
                            </w:r>
                            <w:r w:rsidR="00A3484A">
                              <w:rPr>
                                <w:rFonts w:ascii="Arial" w:hAnsi="Arial" w:cs="Arial"/>
                              </w:rPr>
                              <w:t xml:space="preserve"> work in NE London, but</w:t>
                            </w:r>
                            <w:r w:rsidR="00D9583F">
                              <w:rPr>
                                <w:rFonts w:ascii="Arial" w:hAnsi="Arial" w:cs="Arial"/>
                              </w:rPr>
                              <w:t xml:space="preserve"> live in </w:t>
                            </w:r>
                            <w:r w:rsidRPr="0023696C">
                              <w:rPr>
                                <w:rFonts w:ascii="Arial" w:hAnsi="Arial" w:cs="Arial"/>
                              </w:rPr>
                              <w:t xml:space="preserve">the surrounding London boroughs of Greenwich, Lewisham, Southwark, Islington, Haringey, Bexley and Enfield together with the Brentwood Borough and Thurrock unitary councils </w:t>
                            </w:r>
                            <w:r w:rsidR="00E717FB">
                              <w:rPr>
                                <w:rFonts w:ascii="Arial" w:hAnsi="Arial" w:cs="Arial"/>
                              </w:rPr>
                              <w:t xml:space="preserve">who fit </w:t>
                            </w:r>
                            <w:r w:rsidR="006733D8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="00E717FB">
                              <w:rPr>
                                <w:rFonts w:ascii="Arial" w:hAnsi="Arial" w:cs="Arial"/>
                              </w:rPr>
                              <w:t>in the following criteria</w:t>
                            </w:r>
                            <w:r w:rsidRPr="0023696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E64C66C" w14:textId="77777777" w:rsidR="009D5450" w:rsidRDefault="009D5450" w:rsidP="00C10F0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CDA61" w14:textId="77777777" w:rsidR="00257725" w:rsidRDefault="009D5450" w:rsidP="002577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341F">
                              <w:rPr>
                                <w:rFonts w:ascii="Arial" w:hAnsi="Arial" w:cs="Arial"/>
                              </w:rPr>
                              <w:t>NHS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Social Care staff, and members of their household </w:t>
                            </w: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>who have symptoms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whatever their age, have</w:t>
                            </w:r>
                            <w:r w:rsidRPr="0005341F">
                              <w:rPr>
                                <w:rFonts w:ascii="Arial" w:hAnsi="Arial" w:cs="Arial"/>
                              </w:rPr>
                              <w:t xml:space="preserve"> access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05341F">
                              <w:rPr>
                                <w:rFonts w:ascii="Arial" w:hAnsi="Arial" w:cs="Arial"/>
                              </w:rPr>
                              <w:t xml:space="preserve">priority testing as part of this process. 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>COVID-19 symptomatic c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>hi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 xml:space="preserve">ldren within the household of NHS or social care staff can 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>be booked in to be tested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>owever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 xml:space="preserve"> the parent/acc</w:t>
                            </w:r>
                            <w:r w:rsidR="006A7E6D">
                              <w:rPr>
                                <w:rFonts w:ascii="Arial" w:hAnsi="Arial" w:cs="Arial"/>
                              </w:rPr>
                              <w:t>ompanying adult parent must perform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 xml:space="preserve"> the swab unless 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 xml:space="preserve">the child is of an age/ability </w:t>
                            </w:r>
                            <w:r w:rsidR="00257725" w:rsidRPr="00257725">
                              <w:rPr>
                                <w:rFonts w:ascii="Arial" w:hAnsi="Arial" w:cs="Arial"/>
                              </w:rPr>
                              <w:t xml:space="preserve">where they can self-swab. </w:t>
                            </w:r>
                          </w:p>
                          <w:p w14:paraId="3CF2771B" w14:textId="77777777" w:rsidR="00257725" w:rsidRPr="00257725" w:rsidRDefault="00257725" w:rsidP="002577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>Staff at the tes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 site will not perform PCR Swab tests</w:t>
                            </w: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presenting </w:t>
                            </w:r>
                            <w:r w:rsidRPr="00257725">
                              <w:rPr>
                                <w:rFonts w:ascii="Arial" w:hAnsi="Arial" w:cs="Arial"/>
                                <w:b/>
                              </w:rPr>
                              <w:t xml:space="preserve">adults 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children. </w:t>
                            </w:r>
                          </w:p>
                          <w:p w14:paraId="3CD025AB" w14:textId="77777777" w:rsidR="00257725" w:rsidRDefault="00257725" w:rsidP="002577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725">
                              <w:rPr>
                                <w:rFonts w:ascii="Arial" w:hAnsi="Arial" w:cs="Arial"/>
                              </w:rPr>
                              <w:t>If the parent does not feel comfortable swabbing their child they should not book the test.</w:t>
                            </w:r>
                          </w:p>
                          <w:p w14:paraId="1841E950" w14:textId="77777777" w:rsidR="00E14344" w:rsidRPr="00E14344" w:rsidRDefault="00E14344" w:rsidP="009D54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4344">
                              <w:rPr>
                                <w:rFonts w:ascii="Arial" w:hAnsi="Arial" w:cs="Arial"/>
                                <w:lang w:val="en"/>
                              </w:rPr>
                              <w:t>See guidance on coronavirus testing:</w:t>
                            </w:r>
                          </w:p>
                          <w:p w14:paraId="33A073E3" w14:textId="77777777" w:rsidR="009A58CB" w:rsidRPr="00257725" w:rsidRDefault="008207CE" w:rsidP="0025772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8" w:anchor="who-can-be-tested" w:history="1">
                              <w:r w:rsidR="00E14344" w:rsidRPr="00540C7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https://www.gov.uk/guidance/coronavirus-covid-19-getting-tested#who-can-be-tested</w:t>
                              </w:r>
                            </w:hyperlink>
                            <w:r w:rsidR="00E143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D8A8C6E" w14:textId="77777777" w:rsidR="00772BA4" w:rsidRDefault="00772BA4" w:rsidP="002577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772BA4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Access and process:</w:t>
                            </w:r>
                          </w:p>
                          <w:p w14:paraId="373A1DF2" w14:textId="77777777" w:rsidR="00772BA4" w:rsidRPr="00772BA4" w:rsidRDefault="00772BA4" w:rsidP="00772BA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9B996A" w14:textId="77777777" w:rsidR="009A58CB" w:rsidRPr="00257725" w:rsidRDefault="00EC06A7" w:rsidP="002577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06A7">
                              <w:rPr>
                                <w:rFonts w:ascii="Arial" w:hAnsi="Arial" w:cs="Arial"/>
                                <w:bCs/>
                              </w:rPr>
                              <w:t>A PCR swab test can be obtained through a d</w:t>
                            </w:r>
                            <w:r w:rsidR="00772BA4" w:rsidRPr="00EC06A7">
                              <w:rPr>
                                <w:rFonts w:ascii="Arial" w:hAnsi="Arial" w:cs="Arial"/>
                                <w:bCs/>
                              </w:rPr>
                              <w:t xml:space="preserve">rive-through </w:t>
                            </w:r>
                            <w:r w:rsidR="007E2A8E" w:rsidRPr="00EC06A7">
                              <w:rPr>
                                <w:rFonts w:ascii="Arial" w:hAnsi="Arial" w:cs="Arial"/>
                                <w:bCs/>
                              </w:rPr>
                              <w:t>site or by booking</w:t>
                            </w:r>
                            <w:r w:rsidR="00772BA4" w:rsidRPr="00EC06A7">
                              <w:rPr>
                                <w:rFonts w:ascii="Arial" w:hAnsi="Arial" w:cs="Arial"/>
                                <w:bCs/>
                              </w:rPr>
                              <w:t xml:space="preserve"> a home test kit</w:t>
                            </w:r>
                            <w:r w:rsidRPr="00EC06A7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72BA4">
                              <w:rPr>
                                <w:rFonts w:ascii="Arial" w:hAnsi="Arial" w:cs="Arial"/>
                              </w:rPr>
                              <w:t>Home t</w:t>
                            </w:r>
                            <w:r w:rsidR="0023696C" w:rsidRPr="006A285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14344">
                              <w:rPr>
                                <w:rFonts w:ascii="Arial" w:hAnsi="Arial" w:cs="Arial"/>
                              </w:rPr>
                              <w:t>sting kits will be delive</w:t>
                            </w:r>
                            <w:r w:rsidR="009A58CB">
                              <w:rPr>
                                <w:rFonts w:ascii="Arial" w:hAnsi="Arial" w:cs="Arial"/>
                              </w:rPr>
                              <w:t>red and collected the following</w:t>
                            </w:r>
                            <w:r w:rsidR="0023696C" w:rsidRPr="006A2858">
                              <w:rPr>
                                <w:rFonts w:ascii="Arial" w:hAnsi="Arial" w:cs="Arial"/>
                              </w:rPr>
                              <w:t xml:space="preserve"> day </w:t>
                            </w:r>
                            <w:r w:rsidR="009A58C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E14344">
                              <w:rPr>
                                <w:rFonts w:ascii="Arial" w:hAnsi="Arial" w:cs="Arial"/>
                              </w:rPr>
                              <w:t>Mon</w:t>
                            </w:r>
                            <w:r w:rsidR="00CF1011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 w:rsidR="00257725">
                              <w:rPr>
                                <w:rFonts w:ascii="Arial" w:hAnsi="Arial" w:cs="Arial"/>
                              </w:rPr>
                              <w:t xml:space="preserve"> to Friday</w:t>
                            </w:r>
                            <w:r w:rsidR="009A58CB">
                              <w:rPr>
                                <w:rFonts w:ascii="Arial" w:hAnsi="Arial" w:cs="Arial"/>
                              </w:rPr>
                              <w:t>) by courier</w:t>
                            </w:r>
                            <w:r w:rsidR="00E1434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B5962CF" w14:textId="77777777" w:rsidR="009A58CB" w:rsidRPr="00EC06A7" w:rsidRDefault="009A58CB" w:rsidP="002577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3056E0" w14:textId="77777777" w:rsidR="009A58CB" w:rsidRPr="003951BD" w:rsidRDefault="0023696C" w:rsidP="002577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Employers are reminded that </w:t>
                            </w:r>
                            <w:r w:rsidR="00257725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symptomatic 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="00257725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members </w:t>
                            </w:r>
                            <w:r w:rsidR="00257725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of their household 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referred and booking a home test 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="00257725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ensure someone is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home and able to receive / pass the completed test back to the courier as booked. Failure to comply will result in the booking being void. If a home test is still required employers will have to refer the individual</w:t>
                            </w:r>
                            <w:r w:rsidR="006733D8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for PCR</w:t>
                            </w:r>
                            <w:r w:rsidR="00EC06A7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swab</w:t>
                            </w:r>
                            <w:r w:rsidR="006733D8"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test</w:t>
                            </w:r>
                            <w:r w:rsidRPr="003951B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again.</w:t>
                            </w:r>
                          </w:p>
                          <w:p w14:paraId="1C818148" w14:textId="77777777" w:rsidR="007E2A8E" w:rsidRPr="007E2A8E" w:rsidRDefault="007E2A8E" w:rsidP="002577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F495996" w14:textId="77777777" w:rsidR="007E2A8E" w:rsidRPr="007E2A8E" w:rsidRDefault="007E2A8E" w:rsidP="007E2A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E2A8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Employer referrals can be made here:</w:t>
                            </w:r>
                          </w:p>
                          <w:p w14:paraId="2BFE8C56" w14:textId="77777777" w:rsidR="007E2A8E" w:rsidRPr="00772BA4" w:rsidRDefault="007E2A8E" w:rsidP="007E2A8E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F5A8599" w14:textId="77777777" w:rsidR="007E2A8E" w:rsidRPr="009A58CB" w:rsidRDefault="008207CE" w:rsidP="007E2A8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9" w:history="1">
                              <w:r w:rsidR="007E2A8E" w:rsidRPr="009A58C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https://nhscovidtestlondon.onk2.com/</w:t>
                              </w:r>
                            </w:hyperlink>
                          </w:p>
                          <w:p w14:paraId="2EC42DED" w14:textId="77777777" w:rsidR="007E2A8E" w:rsidRPr="009A58CB" w:rsidRDefault="007E2A8E" w:rsidP="00C10F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0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12.25pt;width:448.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">
                <v:textbox>
                  <w:txbxContent>
                    <w:p w14:paraId="2DCACBCC" w14:textId="77777777" w:rsidR="007E2A8E" w:rsidRDefault="007E2A8E" w:rsidP="00C10F01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57F92361" w14:textId="77777777" w:rsidR="009A58CB" w:rsidRDefault="009A58CB" w:rsidP="00C10F01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0BCF2B04" w14:textId="77777777" w:rsidR="009A58CB" w:rsidRDefault="009A58CB" w:rsidP="00C10F01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25B1E5B6" w14:textId="77777777" w:rsidR="009A58CB" w:rsidRDefault="009A58CB" w:rsidP="00C10F01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34C645DE" w14:textId="77777777" w:rsidR="0023696C" w:rsidRPr="00257725" w:rsidRDefault="00C10F01" w:rsidP="00C10F01">
                      <w:pPr>
                        <w:spacing w:after="0"/>
                        <w:rPr>
                          <w:rFonts w:ascii="Arial" w:hAnsi="Arial" w:cs="Arial"/>
                          <w:color w:val="0070C0"/>
                        </w:rPr>
                      </w:pPr>
                      <w:r w:rsidRPr="00257725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Eligibility: </w:t>
                      </w:r>
                    </w:p>
                    <w:p w14:paraId="35732BD1" w14:textId="77777777" w:rsidR="0023696C" w:rsidRDefault="0023696C" w:rsidP="00C10F0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3696C">
                        <w:rPr>
                          <w:rFonts w:ascii="Arial" w:hAnsi="Arial" w:cs="Arial"/>
                        </w:rPr>
                        <w:t>This service is available to staff who</w:t>
                      </w:r>
                      <w:r w:rsidR="008F149A">
                        <w:rPr>
                          <w:rFonts w:ascii="Arial" w:hAnsi="Arial" w:cs="Arial"/>
                        </w:rPr>
                        <w:t xml:space="preserve"> </w:t>
                      </w:r>
                      <w:r w:rsidR="00D9583F">
                        <w:rPr>
                          <w:rFonts w:ascii="Arial" w:hAnsi="Arial" w:cs="Arial"/>
                        </w:rPr>
                        <w:t xml:space="preserve">live and </w:t>
                      </w:r>
                      <w:r w:rsidR="008F149A">
                        <w:rPr>
                          <w:rFonts w:ascii="Arial" w:hAnsi="Arial" w:cs="Arial"/>
                        </w:rPr>
                        <w:t>w</w:t>
                      </w:r>
                      <w:r w:rsidR="006733D8">
                        <w:rPr>
                          <w:rFonts w:ascii="Arial" w:hAnsi="Arial" w:cs="Arial"/>
                        </w:rPr>
                        <w:t xml:space="preserve">ork </w:t>
                      </w:r>
                      <w:r w:rsidRPr="0023696C">
                        <w:rPr>
                          <w:rFonts w:ascii="Arial" w:hAnsi="Arial" w:cs="Arial"/>
                        </w:rPr>
                        <w:t xml:space="preserve">within the </w:t>
                      </w:r>
                      <w:r w:rsidR="00A3484A">
                        <w:rPr>
                          <w:rFonts w:ascii="Arial" w:hAnsi="Arial" w:cs="Arial"/>
                        </w:rPr>
                        <w:t>NE London</w:t>
                      </w:r>
                      <w:r w:rsidRPr="0023696C">
                        <w:rPr>
                          <w:rFonts w:ascii="Arial" w:hAnsi="Arial" w:cs="Arial"/>
                        </w:rPr>
                        <w:t xml:space="preserve"> area</w:t>
                      </w:r>
                      <w:r w:rsidR="00D9583F">
                        <w:rPr>
                          <w:rFonts w:ascii="Arial" w:hAnsi="Arial" w:cs="Arial"/>
                        </w:rPr>
                        <w:t>.</w:t>
                      </w:r>
                      <w:r w:rsidR="008F149A">
                        <w:rPr>
                          <w:rFonts w:ascii="Arial" w:hAnsi="Arial" w:cs="Arial"/>
                        </w:rPr>
                        <w:t xml:space="preserve"> </w:t>
                      </w:r>
                      <w:r w:rsidR="00D9583F">
                        <w:rPr>
                          <w:rFonts w:ascii="Arial" w:hAnsi="Arial" w:cs="Arial"/>
                        </w:rPr>
                        <w:t xml:space="preserve">The offer also applies to those staff </w:t>
                      </w:r>
                      <w:r w:rsidR="00C063F0">
                        <w:rPr>
                          <w:rFonts w:ascii="Arial" w:hAnsi="Arial" w:cs="Arial"/>
                        </w:rPr>
                        <w:t>that</w:t>
                      </w:r>
                      <w:r w:rsidR="00A3484A">
                        <w:rPr>
                          <w:rFonts w:ascii="Arial" w:hAnsi="Arial" w:cs="Arial"/>
                        </w:rPr>
                        <w:t xml:space="preserve"> work in NE London, but</w:t>
                      </w:r>
                      <w:r w:rsidR="00D9583F">
                        <w:rPr>
                          <w:rFonts w:ascii="Arial" w:hAnsi="Arial" w:cs="Arial"/>
                        </w:rPr>
                        <w:t xml:space="preserve"> live in </w:t>
                      </w:r>
                      <w:r w:rsidRPr="0023696C">
                        <w:rPr>
                          <w:rFonts w:ascii="Arial" w:hAnsi="Arial" w:cs="Arial"/>
                        </w:rPr>
                        <w:t xml:space="preserve">the surrounding London boroughs of Greenwich, Lewisham, Southwark, Islington, Haringey, Bexley and Enfield together with the Brentwood Borough and Thurrock unitary councils </w:t>
                      </w:r>
                      <w:r w:rsidR="00E717FB">
                        <w:rPr>
                          <w:rFonts w:ascii="Arial" w:hAnsi="Arial" w:cs="Arial"/>
                        </w:rPr>
                        <w:t xml:space="preserve">who fit </w:t>
                      </w:r>
                      <w:r w:rsidR="006733D8">
                        <w:rPr>
                          <w:rFonts w:ascii="Arial" w:hAnsi="Arial" w:cs="Arial"/>
                        </w:rPr>
                        <w:t>with</w:t>
                      </w:r>
                      <w:r w:rsidR="00E717FB">
                        <w:rPr>
                          <w:rFonts w:ascii="Arial" w:hAnsi="Arial" w:cs="Arial"/>
                        </w:rPr>
                        <w:t>in the following criteria</w:t>
                      </w:r>
                      <w:r w:rsidRPr="0023696C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E64C66C" w14:textId="77777777" w:rsidR="009D5450" w:rsidRDefault="009D5450" w:rsidP="00C10F0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B1CDA61" w14:textId="77777777" w:rsidR="00257725" w:rsidRDefault="009D5450" w:rsidP="00257725">
                      <w:pPr>
                        <w:rPr>
                          <w:rFonts w:ascii="Arial" w:hAnsi="Arial" w:cs="Arial"/>
                        </w:rPr>
                      </w:pPr>
                      <w:r w:rsidRPr="0005341F">
                        <w:rPr>
                          <w:rFonts w:ascii="Arial" w:hAnsi="Arial" w:cs="Arial"/>
                        </w:rPr>
                        <w:t>NHS and</w:t>
                      </w:r>
                      <w:r>
                        <w:rPr>
                          <w:rFonts w:ascii="Arial" w:hAnsi="Arial" w:cs="Arial"/>
                        </w:rPr>
                        <w:t xml:space="preserve"> Social Care staff, and members of their household </w:t>
                      </w:r>
                      <w:r w:rsidRPr="00257725">
                        <w:rPr>
                          <w:rFonts w:ascii="Arial" w:hAnsi="Arial" w:cs="Arial"/>
                          <w:b/>
                        </w:rPr>
                        <w:t>who have symptoms</w:t>
                      </w:r>
                      <w:r>
                        <w:rPr>
                          <w:rFonts w:ascii="Arial" w:hAnsi="Arial" w:cs="Arial"/>
                        </w:rPr>
                        <w:t>, whatever their age, have</w:t>
                      </w:r>
                      <w:r w:rsidRPr="0005341F">
                        <w:rPr>
                          <w:rFonts w:ascii="Arial" w:hAnsi="Arial" w:cs="Arial"/>
                        </w:rPr>
                        <w:t xml:space="preserve"> access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Pr="0005341F">
                        <w:rPr>
                          <w:rFonts w:ascii="Arial" w:hAnsi="Arial" w:cs="Arial"/>
                        </w:rPr>
                        <w:t xml:space="preserve">priority testing as part of this process. </w:t>
                      </w:r>
                      <w:r w:rsidR="00257725">
                        <w:rPr>
                          <w:rFonts w:ascii="Arial" w:hAnsi="Arial" w:cs="Arial"/>
                        </w:rPr>
                        <w:t>COVID-19 symptomatic c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>hi</w:t>
                      </w:r>
                      <w:r w:rsidR="00257725">
                        <w:rPr>
                          <w:rFonts w:ascii="Arial" w:hAnsi="Arial" w:cs="Arial"/>
                        </w:rPr>
                        <w:t xml:space="preserve">ldren within the household of NHS or social care staff can 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>be booked in to be tested</w:t>
                      </w:r>
                      <w:r w:rsidR="00257725">
                        <w:rPr>
                          <w:rFonts w:ascii="Arial" w:hAnsi="Arial" w:cs="Arial"/>
                        </w:rPr>
                        <w:t>.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 xml:space="preserve"> </w:t>
                      </w:r>
                      <w:r w:rsidR="00257725">
                        <w:rPr>
                          <w:rFonts w:ascii="Arial" w:hAnsi="Arial" w:cs="Arial"/>
                        </w:rPr>
                        <w:t>H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>owever</w:t>
                      </w:r>
                      <w:r w:rsidR="00257725">
                        <w:rPr>
                          <w:rFonts w:ascii="Arial" w:hAnsi="Arial" w:cs="Arial"/>
                        </w:rPr>
                        <w:t>,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 xml:space="preserve"> the parent/acc</w:t>
                      </w:r>
                      <w:r w:rsidR="006A7E6D">
                        <w:rPr>
                          <w:rFonts w:ascii="Arial" w:hAnsi="Arial" w:cs="Arial"/>
                        </w:rPr>
                        <w:t>ompanying adult parent must perform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 xml:space="preserve"> the swab unless </w:t>
                      </w:r>
                      <w:r w:rsidR="00257725">
                        <w:rPr>
                          <w:rFonts w:ascii="Arial" w:hAnsi="Arial" w:cs="Arial"/>
                        </w:rPr>
                        <w:t xml:space="preserve">the child is of an age/ability </w:t>
                      </w:r>
                      <w:r w:rsidR="00257725" w:rsidRPr="00257725">
                        <w:rPr>
                          <w:rFonts w:ascii="Arial" w:hAnsi="Arial" w:cs="Arial"/>
                        </w:rPr>
                        <w:t xml:space="preserve">where they can self-swab. </w:t>
                      </w:r>
                    </w:p>
                    <w:p w14:paraId="3CF2771B" w14:textId="77777777" w:rsidR="00257725" w:rsidRPr="00257725" w:rsidRDefault="00257725" w:rsidP="0025772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57725">
                        <w:rPr>
                          <w:rFonts w:ascii="Arial" w:hAnsi="Arial" w:cs="Arial"/>
                          <w:b/>
                        </w:rPr>
                        <w:t>Staff at the tes</w:t>
                      </w:r>
                      <w:r>
                        <w:rPr>
                          <w:rFonts w:ascii="Arial" w:hAnsi="Arial" w:cs="Arial"/>
                          <w:b/>
                        </w:rPr>
                        <w:t>t site will not perform PCR Swab tests</w:t>
                      </w:r>
                      <w:r w:rsidRPr="00257725">
                        <w:rPr>
                          <w:rFonts w:ascii="Arial" w:hAnsi="Arial" w:cs="Arial"/>
                          <w:b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presenting </w:t>
                      </w:r>
                      <w:r w:rsidRPr="00257725">
                        <w:rPr>
                          <w:rFonts w:ascii="Arial" w:hAnsi="Arial" w:cs="Arial"/>
                          <w:b/>
                        </w:rPr>
                        <w:t xml:space="preserve">adults 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children. </w:t>
                      </w:r>
                    </w:p>
                    <w:p w14:paraId="3CD025AB" w14:textId="77777777" w:rsidR="00257725" w:rsidRDefault="00257725" w:rsidP="00257725">
                      <w:pPr>
                        <w:rPr>
                          <w:rFonts w:ascii="Arial" w:hAnsi="Arial" w:cs="Arial"/>
                        </w:rPr>
                      </w:pPr>
                      <w:r w:rsidRPr="00257725">
                        <w:rPr>
                          <w:rFonts w:ascii="Arial" w:hAnsi="Arial" w:cs="Arial"/>
                        </w:rPr>
                        <w:t>If the parent does not feel comfortable swabbing their child they should not book the test.</w:t>
                      </w:r>
                    </w:p>
                    <w:p w14:paraId="1841E950" w14:textId="77777777" w:rsidR="00E14344" w:rsidRPr="00E14344" w:rsidRDefault="00E14344" w:rsidP="009D5450">
                      <w:pPr>
                        <w:rPr>
                          <w:rFonts w:ascii="Arial" w:hAnsi="Arial" w:cs="Arial"/>
                        </w:rPr>
                      </w:pPr>
                      <w:r w:rsidRPr="00E14344">
                        <w:rPr>
                          <w:rFonts w:ascii="Arial" w:hAnsi="Arial" w:cs="Arial"/>
                          <w:lang w:val="en"/>
                        </w:rPr>
                        <w:t>See guidance on coronavirus testing:</w:t>
                      </w:r>
                    </w:p>
                    <w:p w14:paraId="33A073E3" w14:textId="77777777" w:rsidR="009A58CB" w:rsidRPr="00257725" w:rsidRDefault="008207CE" w:rsidP="0025772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hyperlink r:id="rId10" w:anchor="who-can-be-tested" w:history="1">
                        <w:r w:rsidR="00E14344" w:rsidRPr="00540C79">
                          <w:rPr>
                            <w:rStyle w:val="Hyperlink"/>
                            <w:rFonts w:ascii="Arial" w:hAnsi="Arial" w:cs="Arial"/>
                          </w:rPr>
                          <w:t>https://www.gov.uk/guidance/coronavirus-covid-19-getting-tested#who-can-be-tested</w:t>
                        </w:r>
                      </w:hyperlink>
                      <w:r w:rsidR="00E1434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D8A8C6E" w14:textId="77777777" w:rsidR="00772BA4" w:rsidRDefault="00772BA4" w:rsidP="002577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772BA4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Access and process:</w:t>
                      </w:r>
                    </w:p>
                    <w:p w14:paraId="373A1DF2" w14:textId="77777777" w:rsidR="00772BA4" w:rsidRPr="00772BA4" w:rsidRDefault="00772BA4" w:rsidP="00772BA4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</w:p>
                    <w:p w14:paraId="4B9B996A" w14:textId="77777777" w:rsidR="009A58CB" w:rsidRPr="00257725" w:rsidRDefault="00EC06A7" w:rsidP="002577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C06A7">
                        <w:rPr>
                          <w:rFonts w:ascii="Arial" w:hAnsi="Arial" w:cs="Arial"/>
                          <w:bCs/>
                        </w:rPr>
                        <w:t>A PCR swab test can be obtained through a d</w:t>
                      </w:r>
                      <w:r w:rsidR="00772BA4" w:rsidRPr="00EC06A7">
                        <w:rPr>
                          <w:rFonts w:ascii="Arial" w:hAnsi="Arial" w:cs="Arial"/>
                          <w:bCs/>
                        </w:rPr>
                        <w:t xml:space="preserve">rive-through </w:t>
                      </w:r>
                      <w:r w:rsidR="007E2A8E" w:rsidRPr="00EC06A7">
                        <w:rPr>
                          <w:rFonts w:ascii="Arial" w:hAnsi="Arial" w:cs="Arial"/>
                          <w:bCs/>
                        </w:rPr>
                        <w:t>site or by booking</w:t>
                      </w:r>
                      <w:r w:rsidR="00772BA4" w:rsidRPr="00EC06A7">
                        <w:rPr>
                          <w:rFonts w:ascii="Arial" w:hAnsi="Arial" w:cs="Arial"/>
                          <w:bCs/>
                        </w:rPr>
                        <w:t xml:space="preserve"> a home test kit</w:t>
                      </w:r>
                      <w:r w:rsidRPr="00EC06A7">
                        <w:rPr>
                          <w:rFonts w:ascii="Arial" w:hAnsi="Arial" w:cs="Arial"/>
                          <w:b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72BA4">
                        <w:rPr>
                          <w:rFonts w:ascii="Arial" w:hAnsi="Arial" w:cs="Arial"/>
                        </w:rPr>
                        <w:t>Home t</w:t>
                      </w:r>
                      <w:r w:rsidR="0023696C" w:rsidRPr="006A2858">
                        <w:rPr>
                          <w:rFonts w:ascii="Arial" w:hAnsi="Arial" w:cs="Arial"/>
                        </w:rPr>
                        <w:t>e</w:t>
                      </w:r>
                      <w:r w:rsidR="00E14344">
                        <w:rPr>
                          <w:rFonts w:ascii="Arial" w:hAnsi="Arial" w:cs="Arial"/>
                        </w:rPr>
                        <w:t>sting kits will be delive</w:t>
                      </w:r>
                      <w:r w:rsidR="009A58CB">
                        <w:rPr>
                          <w:rFonts w:ascii="Arial" w:hAnsi="Arial" w:cs="Arial"/>
                        </w:rPr>
                        <w:t>red and collected the following</w:t>
                      </w:r>
                      <w:r w:rsidR="0023696C" w:rsidRPr="006A2858">
                        <w:rPr>
                          <w:rFonts w:ascii="Arial" w:hAnsi="Arial" w:cs="Arial"/>
                        </w:rPr>
                        <w:t xml:space="preserve"> day </w:t>
                      </w:r>
                      <w:r w:rsidR="009A58CB">
                        <w:rPr>
                          <w:rFonts w:ascii="Arial" w:hAnsi="Arial" w:cs="Arial"/>
                        </w:rPr>
                        <w:t>(</w:t>
                      </w:r>
                      <w:r w:rsidR="00E14344">
                        <w:rPr>
                          <w:rFonts w:ascii="Arial" w:hAnsi="Arial" w:cs="Arial"/>
                        </w:rPr>
                        <w:t>Mon</w:t>
                      </w:r>
                      <w:r w:rsidR="00CF1011">
                        <w:rPr>
                          <w:rFonts w:ascii="Arial" w:hAnsi="Arial" w:cs="Arial"/>
                        </w:rPr>
                        <w:t>day</w:t>
                      </w:r>
                      <w:r w:rsidR="00257725">
                        <w:rPr>
                          <w:rFonts w:ascii="Arial" w:hAnsi="Arial" w:cs="Arial"/>
                        </w:rPr>
                        <w:t xml:space="preserve"> to Friday</w:t>
                      </w:r>
                      <w:r w:rsidR="009A58CB">
                        <w:rPr>
                          <w:rFonts w:ascii="Arial" w:hAnsi="Arial" w:cs="Arial"/>
                        </w:rPr>
                        <w:t>) by courier</w:t>
                      </w:r>
                      <w:r w:rsidR="00E1434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B5962CF" w14:textId="77777777" w:rsidR="009A58CB" w:rsidRPr="00EC06A7" w:rsidRDefault="009A58CB" w:rsidP="002577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3056E0" w14:textId="77777777" w:rsidR="009A58CB" w:rsidRPr="003951BD" w:rsidRDefault="0023696C" w:rsidP="002577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Employers are reminded that </w:t>
                      </w:r>
                      <w:r w:rsidR="00257725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symptomatic 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staff </w:t>
                      </w:r>
                      <w:r w:rsidR="00257725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or 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members </w:t>
                      </w:r>
                      <w:r w:rsidR="00257725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of their household 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referred and booking a home test 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="00257725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ensure someone is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home and able to receive / pass the completed test back to the courier as booked. Failure to comply will result in the booking being void. If a home test is still required employers will have to refer the individual</w:t>
                      </w:r>
                      <w:r w:rsidR="006733D8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for PCR</w:t>
                      </w:r>
                      <w:r w:rsidR="00EC06A7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swab</w:t>
                      </w:r>
                      <w:r w:rsidR="006733D8"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test</w:t>
                      </w:r>
                      <w:r w:rsidRPr="003951BD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again.</w:t>
                      </w:r>
                    </w:p>
                    <w:p w14:paraId="1C818148" w14:textId="77777777" w:rsidR="007E2A8E" w:rsidRPr="007E2A8E" w:rsidRDefault="007E2A8E" w:rsidP="002577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F495996" w14:textId="77777777" w:rsidR="007E2A8E" w:rsidRPr="007E2A8E" w:rsidRDefault="007E2A8E" w:rsidP="007E2A8E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E2A8E">
                        <w:rPr>
                          <w:rFonts w:ascii="Arial" w:hAnsi="Arial" w:cs="Arial"/>
                          <w:b/>
                          <w:u w:val="single"/>
                        </w:rPr>
                        <w:t>Employer referrals can be made here:</w:t>
                      </w:r>
                    </w:p>
                    <w:p w14:paraId="2BFE8C56" w14:textId="77777777" w:rsidR="007E2A8E" w:rsidRPr="00772BA4" w:rsidRDefault="007E2A8E" w:rsidP="007E2A8E">
                      <w:pPr>
                        <w:spacing w:after="0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u w:val="single"/>
                        </w:rPr>
                      </w:pPr>
                    </w:p>
                    <w:p w14:paraId="5F5A8599" w14:textId="77777777" w:rsidR="007E2A8E" w:rsidRPr="009A58CB" w:rsidRDefault="008207CE" w:rsidP="007E2A8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1" w:history="1">
                        <w:r w:rsidR="007E2A8E" w:rsidRPr="009A58C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https://nhscovidtestlondon.onk2.com/</w:t>
                        </w:r>
                      </w:hyperlink>
                    </w:p>
                    <w:p w14:paraId="2EC42DED" w14:textId="77777777" w:rsidR="007E2A8E" w:rsidRPr="009A58CB" w:rsidRDefault="007E2A8E" w:rsidP="00C10F01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6C16B" wp14:editId="2987227B">
                <wp:simplePos x="0" y="0"/>
                <wp:positionH relativeFrom="column">
                  <wp:posOffset>466725</wp:posOffset>
                </wp:positionH>
                <wp:positionV relativeFrom="paragraph">
                  <wp:posOffset>265430</wp:posOffset>
                </wp:positionV>
                <wp:extent cx="5362575" cy="561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61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82C4A" w14:textId="77777777" w:rsidR="009A58CB" w:rsidRPr="009A58CB" w:rsidRDefault="009A58CB" w:rsidP="009A58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58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East London Health and Care Partnership PCR Swab Test Booking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C16B" id="Text Box 4" o:spid="_x0000_s1027" type="#_x0000_t202" style="position:absolute;left:0;text-align:left;margin-left:36.75pt;margin-top:20.9pt;width:422.2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" fillcolor="#1f497d [3215]" strokeweight=".5pt">
                <v:textbox>
                  <w:txbxContent>
                    <w:p w14:paraId="49582C4A" w14:textId="77777777" w:rsidR="009A58CB" w:rsidRPr="009A58CB" w:rsidRDefault="009A58CB" w:rsidP="009A58C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A58C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East London Health and Care Partnership PCR Swab Test Booking Offer</w:t>
                      </w:r>
                    </w:p>
                  </w:txbxContent>
                </v:textbox>
              </v:shape>
            </w:pict>
          </mc:Fallback>
        </mc:AlternateContent>
      </w:r>
    </w:p>
    <w:p w14:paraId="28F45869" w14:textId="77777777" w:rsidR="000A75CC" w:rsidRDefault="000A75C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0F077F4" w14:textId="77777777" w:rsidR="000A75CC" w:rsidRDefault="000A75C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436B43D" w14:textId="77777777" w:rsidR="000A75CC" w:rsidRDefault="000A75C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1AD77E1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6DCC5E9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EA146F3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C2BA0CE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0C4F872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F7BFFC3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30FA738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A8EDED8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607D398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54D40DE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FBE4589" w14:textId="77777777" w:rsidR="0023696C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17E7E25" w14:textId="77777777" w:rsidR="0023696C" w:rsidRPr="006A2858" w:rsidRDefault="0023696C" w:rsidP="006A2858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CBA4881" w14:textId="77777777" w:rsidR="00EF2B29" w:rsidRDefault="00EF2B29" w:rsidP="00EF2B29">
      <w:pPr>
        <w:tabs>
          <w:tab w:val="left" w:pos="4500"/>
        </w:tabs>
        <w:rPr>
          <w:rFonts w:ascii="Arial" w:hAnsi="Arial" w:cs="Arial"/>
        </w:rPr>
      </w:pPr>
    </w:p>
    <w:p w14:paraId="317C4878" w14:textId="77777777" w:rsidR="003254B7" w:rsidRDefault="003254B7" w:rsidP="00EF2B29">
      <w:pPr>
        <w:tabs>
          <w:tab w:val="left" w:pos="4500"/>
        </w:tabs>
        <w:rPr>
          <w:rFonts w:ascii="Arial" w:hAnsi="Arial" w:cs="Arial"/>
        </w:rPr>
      </w:pPr>
    </w:p>
    <w:p w14:paraId="07F4E1A3" w14:textId="77777777" w:rsidR="003254B7" w:rsidRDefault="003254B7" w:rsidP="00EF2B29">
      <w:pPr>
        <w:tabs>
          <w:tab w:val="left" w:pos="4500"/>
        </w:tabs>
        <w:rPr>
          <w:rFonts w:ascii="Arial" w:hAnsi="Arial" w:cs="Arial"/>
        </w:rPr>
      </w:pPr>
    </w:p>
    <w:p w14:paraId="5880ECFA" w14:textId="77777777" w:rsidR="003254B7" w:rsidRDefault="003254B7" w:rsidP="00EF2B29">
      <w:pPr>
        <w:tabs>
          <w:tab w:val="left" w:pos="4500"/>
        </w:tabs>
        <w:rPr>
          <w:rFonts w:ascii="Arial" w:hAnsi="Arial" w:cs="Arial"/>
        </w:rPr>
      </w:pPr>
    </w:p>
    <w:sectPr w:rsidR="003254B7" w:rsidSect="00817F5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2AB0" w14:textId="77777777" w:rsidR="008207CE" w:rsidRDefault="008207CE" w:rsidP="0001139E">
      <w:pPr>
        <w:spacing w:after="0" w:line="240" w:lineRule="auto"/>
      </w:pPr>
      <w:r>
        <w:separator/>
      </w:r>
    </w:p>
  </w:endnote>
  <w:endnote w:type="continuationSeparator" w:id="0">
    <w:p w14:paraId="50FCA3E4" w14:textId="77777777" w:rsidR="008207CE" w:rsidRDefault="008207CE" w:rsidP="0001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36FC" w14:textId="77777777" w:rsidR="008207CE" w:rsidRDefault="008207CE" w:rsidP="0001139E">
      <w:pPr>
        <w:spacing w:after="0" w:line="240" w:lineRule="auto"/>
      </w:pPr>
      <w:r>
        <w:separator/>
      </w:r>
    </w:p>
  </w:footnote>
  <w:footnote w:type="continuationSeparator" w:id="0">
    <w:p w14:paraId="17802205" w14:textId="77777777" w:rsidR="008207CE" w:rsidRDefault="008207CE" w:rsidP="0001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DD35" w14:textId="77777777" w:rsidR="0001139E" w:rsidRDefault="0001139E">
    <w:pPr>
      <w:pStyle w:val="Header"/>
    </w:pPr>
    <w:r w:rsidRPr="0001139E">
      <w:rPr>
        <w:noProof/>
      </w:rPr>
      <w:drawing>
        <wp:inline distT="0" distB="0" distL="0" distR="0" wp14:anchorId="6F33338D" wp14:editId="1A4D97F2">
          <wp:extent cx="1838325" cy="666750"/>
          <wp:effectExtent l="0" t="0" r="9525" b="0"/>
          <wp:docPr id="3" name="Picture 2" descr="cid:image001.png@01D49DD1.24E54D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1.png@01D49DD1.24E54D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02136" w14:textId="77777777" w:rsidR="0001139E" w:rsidRDefault="0001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7pt;visibility:visible;mso-wrap-style:square" o:bullet="t">
        <v:imagedata r:id="rId1" o:title=""/>
      </v:shape>
    </w:pict>
  </w:numPicBullet>
  <w:abstractNum w:abstractNumId="0" w15:restartNumberingAfterBreak="0">
    <w:nsid w:val="04101015"/>
    <w:multiLevelType w:val="hybridMultilevel"/>
    <w:tmpl w:val="5CC217A2"/>
    <w:lvl w:ilvl="0" w:tplc="8520900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7648D"/>
    <w:multiLevelType w:val="hybridMultilevel"/>
    <w:tmpl w:val="DBDE8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4FFE"/>
    <w:multiLevelType w:val="hybridMultilevel"/>
    <w:tmpl w:val="1BA29E8E"/>
    <w:lvl w:ilvl="0" w:tplc="41F00736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F2E93A8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5A8E808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47864CC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6B60E3A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AE802E0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56A6F4A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2E05A36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38001F4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094E3789"/>
    <w:multiLevelType w:val="hybridMultilevel"/>
    <w:tmpl w:val="9B1E66F4"/>
    <w:lvl w:ilvl="0" w:tplc="3E14D158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1880E12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34E24A10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C1E4C88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9A0543C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AD2D070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9BCBF76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7B2903E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83257FC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10530046"/>
    <w:multiLevelType w:val="hybridMultilevel"/>
    <w:tmpl w:val="5C3CFB7A"/>
    <w:lvl w:ilvl="0" w:tplc="04DA8230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0B67DF4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62AED3C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A4E2168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A1EF5C0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4F061E6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4A44264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6DE0E80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D4CE0AC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12E92C94"/>
    <w:multiLevelType w:val="hybridMultilevel"/>
    <w:tmpl w:val="EC0C0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A71F0"/>
    <w:multiLevelType w:val="hybridMultilevel"/>
    <w:tmpl w:val="C50E4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640A"/>
    <w:multiLevelType w:val="hybridMultilevel"/>
    <w:tmpl w:val="614A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00BC"/>
    <w:multiLevelType w:val="multilevel"/>
    <w:tmpl w:val="D4263F62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2337A7"/>
    <w:multiLevelType w:val="multilevel"/>
    <w:tmpl w:val="9CA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A25FA"/>
    <w:multiLevelType w:val="hybridMultilevel"/>
    <w:tmpl w:val="480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564B"/>
    <w:multiLevelType w:val="hybridMultilevel"/>
    <w:tmpl w:val="6FE085C2"/>
    <w:lvl w:ilvl="0" w:tplc="D72ADE4E">
      <w:start w:val="1"/>
      <w:numFmt w:val="bullet"/>
      <w:lvlText w:val=""/>
      <w:lvlJc w:val="left"/>
      <w:pPr>
        <w:tabs>
          <w:tab w:val="num" w:pos="1495"/>
        </w:tabs>
        <w:ind w:left="1495" w:hanging="360"/>
      </w:pPr>
      <w:rPr>
        <w:rFonts w:ascii="Webdings" w:hAnsi="Webdings" w:hint="default"/>
      </w:rPr>
    </w:lvl>
    <w:lvl w:ilvl="1" w:tplc="11680BB6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7E05E66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3969996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EBEA19C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9F6E176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C2CDE08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FDEEAD0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F269F66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 w15:restartNumberingAfterBreak="0">
    <w:nsid w:val="345E3F25"/>
    <w:multiLevelType w:val="hybridMultilevel"/>
    <w:tmpl w:val="7C427352"/>
    <w:lvl w:ilvl="0" w:tplc="A3F8D8A6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20852CE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01EECC6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C141BD2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F6B5AA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045F06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F7452B8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BF4A104C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2584C30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3B141EE3"/>
    <w:multiLevelType w:val="hybridMultilevel"/>
    <w:tmpl w:val="3C8E8742"/>
    <w:lvl w:ilvl="0" w:tplc="73342AAA">
      <w:start w:val="1"/>
      <w:numFmt w:val="bullet"/>
      <w:lvlText w:val="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38E3110" w:tentative="1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330849C" w:tentative="1">
      <w:start w:val="1"/>
      <w:numFmt w:val="bullet"/>
      <w:lvlText w:val="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D66F39C" w:tentative="1">
      <w:start w:val="1"/>
      <w:numFmt w:val="bullet"/>
      <w:lvlText w:val="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E36D068" w:tentative="1">
      <w:start w:val="1"/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556D570" w:tentative="1">
      <w:start w:val="1"/>
      <w:numFmt w:val="bullet"/>
      <w:lvlText w:val="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22E2F6A" w:tentative="1">
      <w:start w:val="1"/>
      <w:numFmt w:val="bullet"/>
      <w:lvlText w:val="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4B2438A" w:tentative="1">
      <w:start w:val="1"/>
      <w:numFmt w:val="bullet"/>
      <w:lvlText w:val="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6062138" w:tentative="1">
      <w:start w:val="1"/>
      <w:numFmt w:val="bullet"/>
      <w:lvlText w:val="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" w15:restartNumberingAfterBreak="0">
    <w:nsid w:val="49004A42"/>
    <w:multiLevelType w:val="hybridMultilevel"/>
    <w:tmpl w:val="21CE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492F"/>
    <w:multiLevelType w:val="hybridMultilevel"/>
    <w:tmpl w:val="6A2C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91B45"/>
    <w:multiLevelType w:val="hybridMultilevel"/>
    <w:tmpl w:val="C97C0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47AB"/>
    <w:multiLevelType w:val="hybridMultilevel"/>
    <w:tmpl w:val="72A8FAD0"/>
    <w:lvl w:ilvl="0" w:tplc="0B089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76796"/>
    <w:multiLevelType w:val="hybridMultilevel"/>
    <w:tmpl w:val="37066AF2"/>
    <w:lvl w:ilvl="0" w:tplc="0B089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92A92"/>
    <w:multiLevelType w:val="hybridMultilevel"/>
    <w:tmpl w:val="FB38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B3653"/>
    <w:multiLevelType w:val="hybridMultilevel"/>
    <w:tmpl w:val="96D62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9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9E"/>
    <w:rsid w:val="00000973"/>
    <w:rsid w:val="0001139E"/>
    <w:rsid w:val="00013B76"/>
    <w:rsid w:val="00050E9E"/>
    <w:rsid w:val="00076993"/>
    <w:rsid w:val="000A055F"/>
    <w:rsid w:val="000A75CC"/>
    <w:rsid w:val="000B7A3A"/>
    <w:rsid w:val="000C537C"/>
    <w:rsid w:val="000C60A8"/>
    <w:rsid w:val="000F0313"/>
    <w:rsid w:val="00110CD9"/>
    <w:rsid w:val="00116F52"/>
    <w:rsid w:val="00120F5C"/>
    <w:rsid w:val="00122FDD"/>
    <w:rsid w:val="001351D3"/>
    <w:rsid w:val="00136994"/>
    <w:rsid w:val="0014728F"/>
    <w:rsid w:val="00163CAF"/>
    <w:rsid w:val="0019676F"/>
    <w:rsid w:val="001A14C5"/>
    <w:rsid w:val="001A1E63"/>
    <w:rsid w:val="001B4053"/>
    <w:rsid w:val="001D13E7"/>
    <w:rsid w:val="00216C9A"/>
    <w:rsid w:val="0023696C"/>
    <w:rsid w:val="00253386"/>
    <w:rsid w:val="00257725"/>
    <w:rsid w:val="002602B8"/>
    <w:rsid w:val="002A29FF"/>
    <w:rsid w:val="002A6F91"/>
    <w:rsid w:val="002C16B3"/>
    <w:rsid w:val="002C64BF"/>
    <w:rsid w:val="002D0724"/>
    <w:rsid w:val="003046D3"/>
    <w:rsid w:val="003143F5"/>
    <w:rsid w:val="00314E15"/>
    <w:rsid w:val="0032414A"/>
    <w:rsid w:val="003254B7"/>
    <w:rsid w:val="00332ED3"/>
    <w:rsid w:val="00346662"/>
    <w:rsid w:val="003723D0"/>
    <w:rsid w:val="003951BD"/>
    <w:rsid w:val="00396DF2"/>
    <w:rsid w:val="003C52C5"/>
    <w:rsid w:val="003C697A"/>
    <w:rsid w:val="003C77BF"/>
    <w:rsid w:val="003F00E6"/>
    <w:rsid w:val="00406515"/>
    <w:rsid w:val="00423523"/>
    <w:rsid w:val="00444144"/>
    <w:rsid w:val="00444B8E"/>
    <w:rsid w:val="00447518"/>
    <w:rsid w:val="00454B2D"/>
    <w:rsid w:val="004648AB"/>
    <w:rsid w:val="00493737"/>
    <w:rsid w:val="004B0DB6"/>
    <w:rsid w:val="004B7947"/>
    <w:rsid w:val="004C09B2"/>
    <w:rsid w:val="004C5106"/>
    <w:rsid w:val="004C53A5"/>
    <w:rsid w:val="004E401F"/>
    <w:rsid w:val="004E5CE4"/>
    <w:rsid w:val="0050337C"/>
    <w:rsid w:val="0053326B"/>
    <w:rsid w:val="00550311"/>
    <w:rsid w:val="00595E7E"/>
    <w:rsid w:val="005B7CDC"/>
    <w:rsid w:val="005D22DA"/>
    <w:rsid w:val="005E04FA"/>
    <w:rsid w:val="005E0CE9"/>
    <w:rsid w:val="005E593F"/>
    <w:rsid w:val="005E7E0C"/>
    <w:rsid w:val="005F1E96"/>
    <w:rsid w:val="0060184A"/>
    <w:rsid w:val="00604B9B"/>
    <w:rsid w:val="00607A3F"/>
    <w:rsid w:val="00612613"/>
    <w:rsid w:val="0061346A"/>
    <w:rsid w:val="00623CCF"/>
    <w:rsid w:val="0063275C"/>
    <w:rsid w:val="00636F38"/>
    <w:rsid w:val="0065200C"/>
    <w:rsid w:val="006667F0"/>
    <w:rsid w:val="006733D8"/>
    <w:rsid w:val="00683380"/>
    <w:rsid w:val="006865D0"/>
    <w:rsid w:val="006A2858"/>
    <w:rsid w:val="006A7E6D"/>
    <w:rsid w:val="006B5B3A"/>
    <w:rsid w:val="0072610B"/>
    <w:rsid w:val="0077008D"/>
    <w:rsid w:val="00771A75"/>
    <w:rsid w:val="00772BA4"/>
    <w:rsid w:val="0077303B"/>
    <w:rsid w:val="0079597F"/>
    <w:rsid w:val="007C4271"/>
    <w:rsid w:val="007E2A8E"/>
    <w:rsid w:val="007E72E3"/>
    <w:rsid w:val="007F4489"/>
    <w:rsid w:val="00817F53"/>
    <w:rsid w:val="008207CE"/>
    <w:rsid w:val="00855A45"/>
    <w:rsid w:val="00871096"/>
    <w:rsid w:val="008D091C"/>
    <w:rsid w:val="008E2DA4"/>
    <w:rsid w:val="008E484E"/>
    <w:rsid w:val="008F149A"/>
    <w:rsid w:val="009011AA"/>
    <w:rsid w:val="00904A5E"/>
    <w:rsid w:val="009271FC"/>
    <w:rsid w:val="009409BE"/>
    <w:rsid w:val="009859F0"/>
    <w:rsid w:val="00986DEA"/>
    <w:rsid w:val="00987430"/>
    <w:rsid w:val="009900F7"/>
    <w:rsid w:val="009A58CB"/>
    <w:rsid w:val="009B0F3A"/>
    <w:rsid w:val="009C78FE"/>
    <w:rsid w:val="009D1826"/>
    <w:rsid w:val="009D5450"/>
    <w:rsid w:val="009E7E93"/>
    <w:rsid w:val="009F67D6"/>
    <w:rsid w:val="00A163D2"/>
    <w:rsid w:val="00A304F6"/>
    <w:rsid w:val="00A3484A"/>
    <w:rsid w:val="00A44EE4"/>
    <w:rsid w:val="00A462D1"/>
    <w:rsid w:val="00A4635A"/>
    <w:rsid w:val="00A55F39"/>
    <w:rsid w:val="00A60900"/>
    <w:rsid w:val="00A76294"/>
    <w:rsid w:val="00A84B88"/>
    <w:rsid w:val="00AA45BE"/>
    <w:rsid w:val="00AB1A14"/>
    <w:rsid w:val="00AC0F3B"/>
    <w:rsid w:val="00AC44CA"/>
    <w:rsid w:val="00AC46CF"/>
    <w:rsid w:val="00AD1AC2"/>
    <w:rsid w:val="00AD41FE"/>
    <w:rsid w:val="00AF1E6E"/>
    <w:rsid w:val="00B02CEC"/>
    <w:rsid w:val="00B03D9F"/>
    <w:rsid w:val="00B20D0E"/>
    <w:rsid w:val="00B242D2"/>
    <w:rsid w:val="00B47893"/>
    <w:rsid w:val="00B94A51"/>
    <w:rsid w:val="00BC06C3"/>
    <w:rsid w:val="00C063F0"/>
    <w:rsid w:val="00C10F01"/>
    <w:rsid w:val="00C42DD4"/>
    <w:rsid w:val="00C458B2"/>
    <w:rsid w:val="00C539B3"/>
    <w:rsid w:val="00C667EA"/>
    <w:rsid w:val="00C857C9"/>
    <w:rsid w:val="00CA47E3"/>
    <w:rsid w:val="00CF1011"/>
    <w:rsid w:val="00CF192F"/>
    <w:rsid w:val="00D2409D"/>
    <w:rsid w:val="00D42261"/>
    <w:rsid w:val="00D500FE"/>
    <w:rsid w:val="00D93F4F"/>
    <w:rsid w:val="00D9583F"/>
    <w:rsid w:val="00DD1DC2"/>
    <w:rsid w:val="00DF013F"/>
    <w:rsid w:val="00DF0530"/>
    <w:rsid w:val="00E10317"/>
    <w:rsid w:val="00E11956"/>
    <w:rsid w:val="00E14344"/>
    <w:rsid w:val="00E22917"/>
    <w:rsid w:val="00E35C3B"/>
    <w:rsid w:val="00E6057F"/>
    <w:rsid w:val="00E717FB"/>
    <w:rsid w:val="00E83BC5"/>
    <w:rsid w:val="00E91CFD"/>
    <w:rsid w:val="00E97F5D"/>
    <w:rsid w:val="00EB0B88"/>
    <w:rsid w:val="00EC06A7"/>
    <w:rsid w:val="00EC4CF1"/>
    <w:rsid w:val="00EE110C"/>
    <w:rsid w:val="00EE6B86"/>
    <w:rsid w:val="00EF2B29"/>
    <w:rsid w:val="00F02775"/>
    <w:rsid w:val="00F2565B"/>
    <w:rsid w:val="00F40F0C"/>
    <w:rsid w:val="00F641F9"/>
    <w:rsid w:val="00F870EB"/>
    <w:rsid w:val="00FC3E13"/>
    <w:rsid w:val="00FD6180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0971F"/>
  <w15:docId w15:val="{727AF4B8-893F-448D-BED8-8DE6463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6C"/>
  </w:style>
  <w:style w:type="paragraph" w:styleId="Heading1">
    <w:name w:val="heading 1"/>
    <w:basedOn w:val="Normal"/>
    <w:next w:val="Normal"/>
    <w:link w:val="Heading1Char"/>
    <w:uiPriority w:val="9"/>
    <w:qFormat/>
    <w:rsid w:val="00533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610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9E"/>
  </w:style>
  <w:style w:type="paragraph" w:styleId="Footer">
    <w:name w:val="footer"/>
    <w:basedOn w:val="Normal"/>
    <w:link w:val="FooterChar"/>
    <w:uiPriority w:val="99"/>
    <w:unhideWhenUsed/>
    <w:rsid w:val="0001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9E"/>
  </w:style>
  <w:style w:type="paragraph" w:styleId="BalloonText">
    <w:name w:val="Balloon Text"/>
    <w:basedOn w:val="Normal"/>
    <w:link w:val="BalloonTextChar"/>
    <w:uiPriority w:val="99"/>
    <w:semiHidden/>
    <w:unhideWhenUsed/>
    <w:rsid w:val="0001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5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61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hsuk-action-linktext2">
    <w:name w:val="nhsuk-action-link__text2"/>
    <w:basedOn w:val="DefaultParagraphFont"/>
    <w:rsid w:val="0072610B"/>
  </w:style>
  <w:style w:type="paragraph" w:customStyle="1" w:styleId="Default">
    <w:name w:val="Default"/>
    <w:rsid w:val="00F40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A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A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8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8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getting-test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hscovidtestlondon.onk2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coronavirus-covid-19-getting-tes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hscovidtestlondon.onk2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CCB-10DA-4966-867B-5A41878D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trish.hirst</dc:creator>
  <cp:lastModifiedBy>Martin Cunnington</cp:lastModifiedBy>
  <cp:revision>2</cp:revision>
  <dcterms:created xsi:type="dcterms:W3CDTF">2020-09-23T10:42:00Z</dcterms:created>
  <dcterms:modified xsi:type="dcterms:W3CDTF">2020-09-23T10:42:00Z</dcterms:modified>
</cp:coreProperties>
</file>