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FC" w:rsidRPr="000565FC" w:rsidRDefault="000565FC">
      <w:pPr>
        <w:rPr>
          <w:b/>
        </w:rPr>
      </w:pPr>
      <w:r w:rsidRPr="000565FC">
        <w:rPr>
          <w:b/>
        </w:rPr>
        <w:t>For information only</w:t>
      </w:r>
      <w:r>
        <w:rPr>
          <w:b/>
        </w:rPr>
        <w:t xml:space="preserve">: </w:t>
      </w:r>
      <w:r w:rsidR="00B42076" w:rsidRPr="000565FC">
        <w:rPr>
          <w:b/>
        </w:rPr>
        <w:t>Thromboprophylaxis</w:t>
      </w:r>
      <w:r w:rsidR="00040A9A" w:rsidRPr="000565FC">
        <w:rPr>
          <w:b/>
        </w:rPr>
        <w:t xml:space="preserve"> </w:t>
      </w:r>
      <w:r w:rsidR="00AF35EE" w:rsidRPr="000565FC">
        <w:rPr>
          <w:b/>
        </w:rPr>
        <w:t xml:space="preserve">at HUHFT </w:t>
      </w:r>
      <w:r>
        <w:rPr>
          <w:b/>
        </w:rPr>
        <w:t>in COVID-19</w:t>
      </w:r>
    </w:p>
    <w:p w:rsidR="000565FC" w:rsidRDefault="00887914" w:rsidP="00562012">
      <w:r>
        <w:t>T</w:t>
      </w:r>
      <w:r w:rsidR="00AF35EE" w:rsidRPr="00AF35EE">
        <w:t>he medical world has reported a high incidence of venous thromboembolisms, mainly pulmonary emboli, and arterial disease in patients diagnosed with or suspected of COVID-19 infection.  There appears to be a consensus in the medical community t</w:t>
      </w:r>
      <w:r>
        <w:t xml:space="preserve">hat COVID 19 infection causes a </w:t>
      </w:r>
      <w:proofErr w:type="spellStart"/>
      <w:r w:rsidR="00AF35EE" w:rsidRPr="00AF35EE">
        <w:t>prothrombotic</w:t>
      </w:r>
      <w:proofErr w:type="spellEnd"/>
      <w:r w:rsidR="00AF35EE" w:rsidRPr="00AF35EE">
        <w:t xml:space="preserve"> state in patients.</w:t>
      </w:r>
      <w:r w:rsidR="00AF35EE">
        <w:t xml:space="preserve"> </w:t>
      </w:r>
    </w:p>
    <w:p w:rsidR="00562012" w:rsidRDefault="00AF35EE" w:rsidP="00562012">
      <w:r w:rsidRPr="00AF35EE">
        <w:t>In view of the increased thrombotic tendency seen in patients with COVID 19</w:t>
      </w:r>
      <w:r w:rsidR="006552FD">
        <w:t>;</w:t>
      </w:r>
      <w:r w:rsidRPr="00AF35EE">
        <w:t xml:space="preserve"> </w:t>
      </w:r>
    </w:p>
    <w:p w:rsidR="00C04011" w:rsidRPr="006552FD" w:rsidRDefault="00562012" w:rsidP="005620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552FD">
        <w:rPr>
          <w:sz w:val="22"/>
          <w:szCs w:val="22"/>
        </w:rPr>
        <w:t>T</w:t>
      </w:r>
      <w:r w:rsidR="00AF35EE" w:rsidRPr="006552FD">
        <w:rPr>
          <w:sz w:val="22"/>
          <w:szCs w:val="22"/>
        </w:rPr>
        <w:t xml:space="preserve">he Thrombosis Committee </w:t>
      </w:r>
      <w:r w:rsidR="000565FC" w:rsidRPr="006552FD">
        <w:rPr>
          <w:sz w:val="22"/>
          <w:szCs w:val="22"/>
        </w:rPr>
        <w:t xml:space="preserve">at HUHFT </w:t>
      </w:r>
      <w:r w:rsidR="00AF35EE" w:rsidRPr="006552FD">
        <w:rPr>
          <w:sz w:val="22"/>
          <w:szCs w:val="22"/>
        </w:rPr>
        <w:t>have recommend more intense thromboprophylaxis for patients confirmed or strongly suspected to have COVID-19 infection.</w:t>
      </w:r>
    </w:p>
    <w:p w:rsidR="00562012" w:rsidRPr="00B42076" w:rsidRDefault="00C04011" w:rsidP="00C040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552FD">
        <w:rPr>
          <w:sz w:val="22"/>
          <w:szCs w:val="22"/>
        </w:rPr>
        <w:t xml:space="preserve">A </w:t>
      </w:r>
      <w:r w:rsidR="00AF35EE" w:rsidRPr="006552FD">
        <w:rPr>
          <w:sz w:val="22"/>
          <w:szCs w:val="22"/>
        </w:rPr>
        <w:t>new pan London study</w:t>
      </w:r>
      <w:r w:rsidR="00562012" w:rsidRPr="006552FD">
        <w:rPr>
          <w:sz w:val="22"/>
          <w:szCs w:val="22"/>
        </w:rPr>
        <w:t xml:space="preserve"> </w:t>
      </w:r>
      <w:r w:rsidR="00CB00E1">
        <w:rPr>
          <w:sz w:val="22"/>
          <w:szCs w:val="22"/>
        </w:rPr>
        <w:t xml:space="preserve">reviewing </w:t>
      </w:r>
      <w:r w:rsidR="00562012" w:rsidRPr="006552FD">
        <w:rPr>
          <w:sz w:val="22"/>
          <w:szCs w:val="22"/>
        </w:rPr>
        <w:t>this</w:t>
      </w:r>
      <w:r w:rsidR="00AF35EE" w:rsidRPr="006552FD">
        <w:rPr>
          <w:sz w:val="22"/>
          <w:szCs w:val="22"/>
        </w:rPr>
        <w:t xml:space="preserve"> </w:t>
      </w:r>
      <w:r w:rsidR="00CB00E1" w:rsidRPr="00B42076">
        <w:rPr>
          <w:sz w:val="22"/>
          <w:szCs w:val="22"/>
        </w:rPr>
        <w:t>has been drawn up.</w:t>
      </w:r>
    </w:p>
    <w:p w:rsidR="000F7A4F" w:rsidRPr="006552FD" w:rsidRDefault="004C08E2" w:rsidP="00C040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552FD">
        <w:rPr>
          <w:sz w:val="22"/>
          <w:szCs w:val="22"/>
        </w:rPr>
        <w:t>Pre-COVID-19 a</w:t>
      </w:r>
      <w:r w:rsidR="000F7A4F" w:rsidRPr="006552FD">
        <w:rPr>
          <w:sz w:val="22"/>
          <w:szCs w:val="22"/>
        </w:rPr>
        <w:t>ll pat</w:t>
      </w:r>
      <w:r w:rsidR="00C04011" w:rsidRPr="006552FD">
        <w:rPr>
          <w:sz w:val="22"/>
          <w:szCs w:val="22"/>
        </w:rPr>
        <w:t>ients admitt</w:t>
      </w:r>
      <w:r w:rsidRPr="006552FD">
        <w:rPr>
          <w:sz w:val="22"/>
          <w:szCs w:val="22"/>
        </w:rPr>
        <w:t>ed to hospital were</w:t>
      </w:r>
      <w:r w:rsidR="000F7A4F" w:rsidRPr="006552FD">
        <w:rPr>
          <w:sz w:val="22"/>
          <w:szCs w:val="22"/>
        </w:rPr>
        <w:t xml:space="preserve"> assessed for their VTE risk and started on Enoxaparin 40mg daily if nece</w:t>
      </w:r>
      <w:r w:rsidR="00C04011" w:rsidRPr="006552FD">
        <w:rPr>
          <w:sz w:val="22"/>
          <w:szCs w:val="22"/>
        </w:rPr>
        <w:t>ssary. However, the dose will</w:t>
      </w:r>
      <w:r w:rsidRPr="006552FD">
        <w:rPr>
          <w:sz w:val="22"/>
          <w:szCs w:val="22"/>
        </w:rPr>
        <w:t xml:space="preserve"> now</w:t>
      </w:r>
      <w:r w:rsidR="00C04011" w:rsidRPr="006552FD">
        <w:rPr>
          <w:sz w:val="22"/>
          <w:szCs w:val="22"/>
        </w:rPr>
        <w:t xml:space="preserve"> </w:t>
      </w:r>
      <w:r w:rsidR="000F7A4F" w:rsidRPr="006552FD">
        <w:rPr>
          <w:sz w:val="22"/>
          <w:szCs w:val="22"/>
        </w:rPr>
        <w:t>be increased for those tested positive for COVID-19 infection from swabs and in patients with highly suggestive symptoms and radiology.</w:t>
      </w:r>
    </w:p>
    <w:p w:rsidR="000F7A4F" w:rsidRDefault="000E356F" w:rsidP="00C040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552FD">
        <w:rPr>
          <w:sz w:val="22"/>
          <w:szCs w:val="22"/>
        </w:rPr>
        <w:t xml:space="preserve">The dose of LMWH is based on </w:t>
      </w:r>
      <w:proofErr w:type="gramStart"/>
      <w:r w:rsidR="000F7A4F" w:rsidRPr="006552FD">
        <w:rPr>
          <w:sz w:val="22"/>
          <w:szCs w:val="22"/>
        </w:rPr>
        <w:t>patients’ d</w:t>
      </w:r>
      <w:proofErr w:type="gramEnd"/>
      <w:r w:rsidR="000F7A4F" w:rsidRPr="006552FD">
        <w:rPr>
          <w:sz w:val="22"/>
          <w:szCs w:val="22"/>
        </w:rPr>
        <w:t>-dimer levels, actual body weight and renal function.</w:t>
      </w:r>
    </w:p>
    <w:p w:rsidR="006552FD" w:rsidRDefault="006552FD" w:rsidP="00C0401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Depending on renal function </w:t>
      </w:r>
      <w:r w:rsidR="002126E9">
        <w:rPr>
          <w:sz w:val="22"/>
          <w:szCs w:val="22"/>
        </w:rPr>
        <w:t>in-</w:t>
      </w:r>
      <w:r>
        <w:rPr>
          <w:sz w:val="22"/>
          <w:szCs w:val="22"/>
        </w:rPr>
        <w:t xml:space="preserve">patients will be prescribed either enoxaparin or </w:t>
      </w:r>
      <w:proofErr w:type="spellStart"/>
      <w:r>
        <w:rPr>
          <w:sz w:val="22"/>
          <w:szCs w:val="22"/>
        </w:rPr>
        <w:t>dalteparin</w:t>
      </w:r>
      <w:proofErr w:type="spellEnd"/>
      <w:r>
        <w:rPr>
          <w:sz w:val="22"/>
          <w:szCs w:val="22"/>
        </w:rPr>
        <w:t xml:space="preserve">. </w:t>
      </w:r>
    </w:p>
    <w:p w:rsidR="002126E9" w:rsidRPr="006552FD" w:rsidRDefault="002126E9" w:rsidP="00C0401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proofErr w:type="spellStart"/>
      <w:r>
        <w:rPr>
          <w:sz w:val="22"/>
          <w:szCs w:val="22"/>
        </w:rPr>
        <w:t>antiplatelets</w:t>
      </w:r>
      <w:proofErr w:type="spellEnd"/>
      <w:r>
        <w:rPr>
          <w:sz w:val="22"/>
          <w:szCs w:val="22"/>
        </w:rPr>
        <w:t xml:space="preserve"> to be continued. </w:t>
      </w:r>
    </w:p>
    <w:p w:rsidR="004C08E2" w:rsidRDefault="004C08E2" w:rsidP="004C08E2">
      <w:pPr>
        <w:pStyle w:val="ListParagraph"/>
      </w:pPr>
    </w:p>
    <w:p w:rsidR="000F7A4F" w:rsidRPr="004C08E2" w:rsidRDefault="000F7A4F" w:rsidP="000F7A4F">
      <w:pPr>
        <w:rPr>
          <w:b/>
          <w:color w:val="00B0F0"/>
        </w:rPr>
      </w:pPr>
      <w:r w:rsidRPr="004C08E2">
        <w:rPr>
          <w:b/>
        </w:rPr>
        <w:t>Continuation of thromboprophylaxis on discharge</w:t>
      </w:r>
      <w:r w:rsidR="004C08E2">
        <w:rPr>
          <w:b/>
        </w:rPr>
        <w:t xml:space="preserve">: </w:t>
      </w:r>
      <w:r w:rsidR="004C08E2" w:rsidRPr="004C08E2">
        <w:rPr>
          <w:b/>
          <w:color w:val="00B0F0"/>
        </w:rPr>
        <w:t>Hospital only prescribing</w:t>
      </w:r>
      <w:bookmarkStart w:id="0" w:name="_GoBack"/>
      <w:bookmarkEnd w:id="0"/>
    </w:p>
    <w:p w:rsidR="000F7A4F" w:rsidRDefault="000F7A4F">
      <w:r>
        <w:t xml:space="preserve">COVID-19 infection and the related inflammatory response may not be fully resolved or can recur within the first few weeks </w:t>
      </w:r>
      <w:r w:rsidRPr="00DB3A36">
        <w:t xml:space="preserve">once patients are back in the community. Therefore, extended thromboprophylaxis </w:t>
      </w:r>
      <w:r w:rsidRPr="002E79BE">
        <w:t>for 3 additional weeks should be offered to high risk patients</w:t>
      </w:r>
      <w:r>
        <w:t xml:space="preserve"> who are discharged to the community f</w:t>
      </w:r>
      <w:r w:rsidR="004C08E2">
        <w:t>ollowing their acute admission (see table below for details).</w:t>
      </w:r>
    </w:p>
    <w:p w:rsidR="004C08E2" w:rsidRDefault="000565FC">
      <w:r>
        <w:rPr>
          <w:noProof/>
          <w:lang w:eastAsia="en-GB"/>
        </w:rPr>
        <w:drawing>
          <wp:inline distT="0" distB="0" distL="0" distR="0" wp14:anchorId="12350126" wp14:editId="1679C0B6">
            <wp:extent cx="5365750" cy="2647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71" t="21272" r="18901" b="18062"/>
                    <a:stretch/>
                  </pic:blipFill>
                  <pic:spPr bwMode="auto">
                    <a:xfrm>
                      <a:off x="0" y="0"/>
                      <a:ext cx="53657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8E2" w:rsidRDefault="004C08E2" w:rsidP="004C08E2">
      <w:r w:rsidRPr="002126E9">
        <w:t>At discharge, patients</w:t>
      </w:r>
      <w:r w:rsidR="00A555BC" w:rsidRPr="002126E9">
        <w:t xml:space="preserve"> who were </w:t>
      </w:r>
      <w:r w:rsidR="00A555BC" w:rsidRPr="00B42076">
        <w:rPr>
          <w:b/>
        </w:rPr>
        <w:t>treated</w:t>
      </w:r>
      <w:r w:rsidR="00A555BC" w:rsidRPr="002126E9">
        <w:t xml:space="preserve"> for </w:t>
      </w:r>
      <w:r w:rsidR="002126E9" w:rsidRPr="002126E9">
        <w:rPr>
          <w:b/>
        </w:rPr>
        <w:t>VTE</w:t>
      </w:r>
      <w:r w:rsidR="00A555BC" w:rsidRPr="002126E9">
        <w:rPr>
          <w:b/>
        </w:rPr>
        <w:t xml:space="preserve"> complications</w:t>
      </w:r>
      <w:r w:rsidR="002126E9" w:rsidRPr="002126E9">
        <w:rPr>
          <w:b/>
        </w:rPr>
        <w:t xml:space="preserve"> of COVID-19</w:t>
      </w:r>
      <w:r w:rsidR="00A555BC" w:rsidRPr="002126E9">
        <w:t xml:space="preserve"> </w:t>
      </w:r>
      <w:r w:rsidR="002126E9">
        <w:t xml:space="preserve">infections </w:t>
      </w:r>
      <w:r w:rsidR="00A555BC" w:rsidRPr="002126E9">
        <w:t xml:space="preserve">will be supplied with 4 weeks’ worth of </w:t>
      </w:r>
      <w:r w:rsidR="00A555BC" w:rsidRPr="002126E9">
        <w:rPr>
          <w:b/>
        </w:rPr>
        <w:t>treatment dose</w:t>
      </w:r>
      <w:r w:rsidR="00A555BC" w:rsidRPr="002126E9">
        <w:t xml:space="preserve"> LMWH/ </w:t>
      </w:r>
      <w:proofErr w:type="spellStart"/>
      <w:r w:rsidR="00A555BC" w:rsidRPr="002126E9">
        <w:t>Apixaban</w:t>
      </w:r>
      <w:proofErr w:type="spellEnd"/>
      <w:r w:rsidR="00A555BC" w:rsidRPr="002126E9">
        <w:t>. These patients</w:t>
      </w:r>
      <w:r w:rsidRPr="002126E9">
        <w:t xml:space="preserve"> should be </w:t>
      </w:r>
      <w:r w:rsidRPr="002126E9">
        <w:rPr>
          <w:b/>
        </w:rPr>
        <w:t>offered a telephone consultation with the Anticoagulation team three weeks late</w:t>
      </w:r>
      <w:r w:rsidRPr="002126E9">
        <w:t>r to discuss the duration of their treatments and the possible conversion of their LMWH therapy to oral anticoagulation with DOACs</w:t>
      </w:r>
      <w:r w:rsidRPr="004C08E2">
        <w:t>.</w:t>
      </w:r>
      <w:r w:rsidR="002126E9">
        <w:t xml:space="preserve"> </w:t>
      </w:r>
      <w:r>
        <w:t>Their TTA’s will</w:t>
      </w:r>
      <w:r w:rsidRPr="004C08E2">
        <w:t xml:space="preserve"> include Enoxaparin/ </w:t>
      </w:r>
      <w:proofErr w:type="spellStart"/>
      <w:r w:rsidRPr="004C08E2">
        <w:t>Dalteparin</w:t>
      </w:r>
      <w:proofErr w:type="spellEnd"/>
      <w:r w:rsidRPr="004C08E2">
        <w:t xml:space="preserve"> to cover four weeks.</w:t>
      </w:r>
      <w:r>
        <w:t xml:space="preserve"> </w:t>
      </w:r>
    </w:p>
    <w:p w:rsidR="000F7A4F" w:rsidRPr="004C08E2" w:rsidRDefault="004C08E2" w:rsidP="004C08E2">
      <w:pPr>
        <w:rPr>
          <w:b/>
        </w:rPr>
      </w:pPr>
      <w:r w:rsidRPr="004C08E2">
        <w:rPr>
          <w:b/>
        </w:rPr>
        <w:t>All prescribing will be managed by the hospital and GPs will not be asked to prescribe</w:t>
      </w:r>
      <w:r>
        <w:rPr>
          <w:b/>
        </w:rPr>
        <w:t xml:space="preserve"> any thromboprophylaxis</w:t>
      </w:r>
      <w:r w:rsidRPr="004C08E2">
        <w:rPr>
          <w:b/>
        </w:rPr>
        <w:t xml:space="preserve">. </w:t>
      </w:r>
    </w:p>
    <w:sectPr w:rsidR="000F7A4F" w:rsidRPr="004C0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549"/>
    <w:multiLevelType w:val="hybridMultilevel"/>
    <w:tmpl w:val="2E1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4FA7"/>
    <w:multiLevelType w:val="hybridMultilevel"/>
    <w:tmpl w:val="9C68C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5517"/>
    <w:multiLevelType w:val="hybridMultilevel"/>
    <w:tmpl w:val="30883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A5B9D"/>
    <w:multiLevelType w:val="hybridMultilevel"/>
    <w:tmpl w:val="99BE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A"/>
    <w:rsid w:val="00040A9A"/>
    <w:rsid w:val="000565FC"/>
    <w:rsid w:val="000E356F"/>
    <w:rsid w:val="000F7A4F"/>
    <w:rsid w:val="0015321C"/>
    <w:rsid w:val="002126E9"/>
    <w:rsid w:val="002E79BE"/>
    <w:rsid w:val="003271D6"/>
    <w:rsid w:val="004C08E2"/>
    <w:rsid w:val="00562012"/>
    <w:rsid w:val="006552FD"/>
    <w:rsid w:val="00753CB3"/>
    <w:rsid w:val="00887914"/>
    <w:rsid w:val="00A555BC"/>
    <w:rsid w:val="00AF35EE"/>
    <w:rsid w:val="00B42076"/>
    <w:rsid w:val="00C04011"/>
    <w:rsid w:val="00CB00E1"/>
    <w:rsid w:val="00E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FD512-E9A2-495B-8221-817C027C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4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1879</Characters>
  <Application>Microsoft Office Word</Application>
  <DocSecurity>0</DocSecurity>
  <Lines>125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Hashi, Sagal - Joint Formulary Pharmacist</dc:creator>
  <cp:lastModifiedBy>Hashi, Sagal - Joint Formulary Pharmacist</cp:lastModifiedBy>
  <cp:revision>2</cp:revision>
  <dcterms:created xsi:type="dcterms:W3CDTF">2020-05-11T17:07:00Z</dcterms:created>
  <dcterms:modified xsi:type="dcterms:W3CDTF">2020-05-11T17:07:00Z</dcterms:modified>
</cp:coreProperties>
</file>